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3" w:rsidRDefault="00E817D3" w:rsidP="0099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32</w:t>
      </w:r>
    </w:p>
    <w:p w:rsidR="00991152" w:rsidRDefault="00F3143B" w:rsidP="0099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91152">
        <w:rPr>
          <w:rFonts w:ascii="Times New Roman" w:eastAsia="Times New Roman" w:hAnsi="Times New Roman" w:cs="Times New Roman"/>
          <w:b/>
          <w:bCs/>
        </w:rPr>
        <w:t>MANEJO DE LA HIPERGLIC</w:t>
      </w:r>
      <w:r w:rsidR="00991152">
        <w:rPr>
          <w:rFonts w:ascii="Times New Roman" w:eastAsia="Times New Roman" w:hAnsi="Times New Roman" w:cs="Times New Roman"/>
          <w:b/>
          <w:bCs/>
        </w:rPr>
        <w:t>EMIA CON ESQUEMA BASAL-CORRECCIÓN, CON INSULINA ASPÁ</w:t>
      </w:r>
      <w:r w:rsidRPr="00991152">
        <w:rPr>
          <w:rFonts w:ascii="Times New Roman" w:eastAsia="Times New Roman" w:hAnsi="Times New Roman" w:cs="Times New Roman"/>
          <w:b/>
          <w:bCs/>
        </w:rPr>
        <w:t>RTICA EN PACIENTES DIAB</w:t>
      </w:r>
      <w:r w:rsidR="00991152">
        <w:rPr>
          <w:rFonts w:ascii="Times New Roman" w:eastAsia="Times New Roman" w:hAnsi="Times New Roman" w:cs="Times New Roman"/>
          <w:b/>
          <w:bCs/>
        </w:rPr>
        <w:t>ÉTICOS HOSPITALIZADOS NO CRÍ</w:t>
      </w:r>
      <w:r w:rsidRPr="00991152">
        <w:rPr>
          <w:rFonts w:ascii="Times New Roman" w:eastAsia="Times New Roman" w:hAnsi="Times New Roman" w:cs="Times New Roman"/>
          <w:b/>
          <w:bCs/>
        </w:rPr>
        <w:t>TICOS</w:t>
      </w:r>
    </w:p>
    <w:p w:rsidR="00991152" w:rsidRDefault="00F3143B" w:rsidP="0099115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991152">
        <w:rPr>
          <w:rFonts w:ascii="Times New Roman" w:eastAsia="Times New Roman" w:hAnsi="Times New Roman" w:cs="Times New Roman"/>
        </w:rPr>
        <w:t>K</w:t>
      </w:r>
      <w:r w:rsidR="00991152">
        <w:rPr>
          <w:rFonts w:ascii="Times New Roman" w:eastAsia="Times New Roman" w:hAnsi="Times New Roman" w:cs="Times New Roman"/>
        </w:rPr>
        <w:t>arina Elgueta Rodríguez</w:t>
      </w:r>
      <w:r w:rsidRPr="00991152">
        <w:rPr>
          <w:rFonts w:ascii="Times New Roman" w:eastAsia="Times New Roman" w:hAnsi="Times New Roman" w:cs="Times New Roman"/>
          <w:vertAlign w:val="superscript"/>
        </w:rPr>
        <w:t>1</w:t>
      </w:r>
      <w:r w:rsidRPr="00991152">
        <w:rPr>
          <w:rFonts w:ascii="Times New Roman" w:eastAsia="Times New Roman" w:hAnsi="Times New Roman" w:cs="Times New Roman"/>
        </w:rPr>
        <w:t>, P</w:t>
      </w:r>
      <w:r w:rsidR="00991152">
        <w:rPr>
          <w:rFonts w:ascii="Times New Roman" w:eastAsia="Times New Roman" w:hAnsi="Times New Roman" w:cs="Times New Roman"/>
        </w:rPr>
        <w:t>aulina Vignolo Adana</w:t>
      </w:r>
      <w:r w:rsidRPr="00991152">
        <w:rPr>
          <w:rFonts w:ascii="Times New Roman" w:eastAsia="Times New Roman" w:hAnsi="Times New Roman" w:cs="Times New Roman"/>
          <w:vertAlign w:val="superscript"/>
        </w:rPr>
        <w:t>1</w:t>
      </w:r>
      <w:r w:rsidRPr="00991152">
        <w:rPr>
          <w:rFonts w:ascii="Times New Roman" w:eastAsia="Times New Roman" w:hAnsi="Times New Roman" w:cs="Times New Roman"/>
        </w:rPr>
        <w:t>, E</w:t>
      </w:r>
      <w:r w:rsidR="00991152">
        <w:rPr>
          <w:rFonts w:ascii="Times New Roman" w:eastAsia="Times New Roman" w:hAnsi="Times New Roman" w:cs="Times New Roman"/>
        </w:rPr>
        <w:t>steban Pinto Kaliski</w:t>
      </w:r>
      <w:r w:rsidRPr="00991152">
        <w:rPr>
          <w:rFonts w:ascii="Times New Roman" w:eastAsia="Times New Roman" w:hAnsi="Times New Roman" w:cs="Times New Roman"/>
          <w:vertAlign w:val="superscript"/>
        </w:rPr>
        <w:t>1</w:t>
      </w:r>
      <w:r w:rsidRPr="00991152">
        <w:rPr>
          <w:rFonts w:ascii="Times New Roman" w:eastAsia="Times New Roman" w:hAnsi="Times New Roman" w:cs="Times New Roman"/>
        </w:rPr>
        <w:t>, M</w:t>
      </w:r>
      <w:r w:rsidR="00991152">
        <w:rPr>
          <w:rFonts w:ascii="Times New Roman" w:eastAsia="Times New Roman" w:hAnsi="Times New Roman" w:cs="Times New Roman"/>
        </w:rPr>
        <w:t>arcos Estica Rivas</w:t>
      </w:r>
      <w:r w:rsidRPr="00991152">
        <w:rPr>
          <w:rFonts w:ascii="Times New Roman" w:eastAsia="Times New Roman" w:hAnsi="Times New Roman" w:cs="Times New Roman"/>
          <w:vertAlign w:val="superscript"/>
        </w:rPr>
        <w:t>1</w:t>
      </w:r>
      <w:r w:rsidRPr="00991152">
        <w:rPr>
          <w:rFonts w:ascii="Times New Roman" w:eastAsia="Times New Roman" w:hAnsi="Times New Roman" w:cs="Times New Roman"/>
        </w:rPr>
        <w:t>, P</w:t>
      </w:r>
      <w:r w:rsidR="00991152">
        <w:rPr>
          <w:rFonts w:ascii="Times New Roman" w:eastAsia="Times New Roman" w:hAnsi="Times New Roman" w:cs="Times New Roman"/>
        </w:rPr>
        <w:t>atricia Gómez Gómez</w:t>
      </w:r>
      <w:r w:rsidRPr="00991152">
        <w:rPr>
          <w:rFonts w:ascii="Times New Roman" w:eastAsia="Times New Roman" w:hAnsi="Times New Roman" w:cs="Times New Roman"/>
          <w:vertAlign w:val="superscript"/>
        </w:rPr>
        <w:t>1</w:t>
      </w:r>
      <w:r w:rsidRPr="00991152">
        <w:rPr>
          <w:rFonts w:ascii="Times New Roman" w:eastAsia="Times New Roman" w:hAnsi="Times New Roman" w:cs="Times New Roman"/>
        </w:rPr>
        <w:t>, G</w:t>
      </w:r>
      <w:r w:rsidR="00991152">
        <w:rPr>
          <w:rFonts w:ascii="Times New Roman" w:eastAsia="Times New Roman" w:hAnsi="Times New Roman" w:cs="Times New Roman"/>
        </w:rPr>
        <w:t>loria López Stewart</w:t>
      </w:r>
      <w:r w:rsidRPr="00991152">
        <w:rPr>
          <w:rFonts w:ascii="Times New Roman" w:eastAsia="Times New Roman" w:hAnsi="Times New Roman" w:cs="Times New Roman"/>
          <w:vertAlign w:val="superscript"/>
        </w:rPr>
        <w:t>1</w:t>
      </w:r>
      <w:r w:rsidRPr="00991152">
        <w:rPr>
          <w:rFonts w:ascii="Times New Roman" w:eastAsia="Times New Roman" w:hAnsi="Times New Roman" w:cs="Times New Roman"/>
        </w:rPr>
        <w:t>, P</w:t>
      </w:r>
      <w:r w:rsidR="00991152">
        <w:rPr>
          <w:rFonts w:ascii="Times New Roman" w:eastAsia="Times New Roman" w:hAnsi="Times New Roman" w:cs="Times New Roman"/>
        </w:rPr>
        <w:t>ilar Durruty Alfonso</w:t>
      </w:r>
      <w:r w:rsidRPr="00991152">
        <w:rPr>
          <w:rFonts w:ascii="Times New Roman" w:eastAsia="Times New Roman" w:hAnsi="Times New Roman" w:cs="Times New Roman"/>
          <w:vertAlign w:val="superscript"/>
        </w:rPr>
        <w:t>1</w:t>
      </w:r>
    </w:p>
    <w:p w:rsidR="00991152" w:rsidRDefault="00F3143B" w:rsidP="009911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152">
        <w:rPr>
          <w:rFonts w:ascii="Times New Roman" w:eastAsia="Times New Roman" w:hAnsi="Times New Roman" w:cs="Times New Roman"/>
          <w:vertAlign w:val="superscript"/>
        </w:rPr>
        <w:t>1</w:t>
      </w:r>
      <w:r w:rsidRPr="00991152">
        <w:rPr>
          <w:rFonts w:ascii="Times New Roman" w:eastAsia="Times New Roman" w:hAnsi="Times New Roman" w:cs="Times New Roman"/>
        </w:rPr>
        <w:t>Hospital Clínico Universidad de Chile</w:t>
      </w:r>
    </w:p>
    <w:p w:rsidR="00CE7628" w:rsidRPr="00991152" w:rsidRDefault="00F3143B" w:rsidP="009911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1152">
        <w:rPr>
          <w:b/>
          <w:sz w:val="22"/>
          <w:szCs w:val="22"/>
        </w:rPr>
        <w:t>Objetivos.</w:t>
      </w:r>
      <w:r w:rsidR="00991152">
        <w:rPr>
          <w:b/>
          <w:sz w:val="22"/>
          <w:szCs w:val="22"/>
        </w:rPr>
        <w:t xml:space="preserve"> </w:t>
      </w:r>
      <w:r w:rsidRPr="00991152">
        <w:rPr>
          <w:sz w:val="22"/>
          <w:szCs w:val="22"/>
        </w:rPr>
        <w:t xml:space="preserve">Comparar uso de análogo rápido (aspártica,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>) con insulina regular (IC) en pacientes diabéticos hospitalizados no críticos, manejados con esquema basal-corrección. Evaluar control metabólico (glicemias en meta 140-180 mg/dl), n° de eventos hipoglicemias (&lt;70mg/dl) e hiperglicemia (&gt;300mg/dl), días de hospitalización y dosis total insulina/día.</w:t>
      </w:r>
    </w:p>
    <w:p w:rsidR="00CE7628" w:rsidRPr="00991152" w:rsidRDefault="00F3143B" w:rsidP="009911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1152">
        <w:rPr>
          <w:b/>
          <w:sz w:val="22"/>
          <w:szCs w:val="22"/>
        </w:rPr>
        <w:t>Diseño experimental</w:t>
      </w:r>
      <w:r w:rsidRPr="00991152">
        <w:rPr>
          <w:sz w:val="22"/>
          <w:szCs w:val="22"/>
          <w:u w:val="single"/>
        </w:rPr>
        <w:t>.</w:t>
      </w:r>
      <w:r w:rsidRPr="00991152">
        <w:rPr>
          <w:sz w:val="22"/>
          <w:szCs w:val="22"/>
        </w:rPr>
        <w:t xml:space="preserve"> Estudio prospectivo, abierto, randomizado.</w:t>
      </w:r>
    </w:p>
    <w:p w:rsidR="00CE7628" w:rsidRPr="00991152" w:rsidRDefault="00F3143B" w:rsidP="009911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1152">
        <w:rPr>
          <w:b/>
          <w:sz w:val="22"/>
          <w:szCs w:val="22"/>
        </w:rPr>
        <w:t>Pacientes y Métodos</w:t>
      </w:r>
      <w:r w:rsidRPr="00991152">
        <w:rPr>
          <w:sz w:val="22"/>
          <w:szCs w:val="22"/>
          <w:u w:val="single"/>
        </w:rPr>
        <w:t>.</w:t>
      </w:r>
      <w:r w:rsidRPr="00991152">
        <w:rPr>
          <w:sz w:val="22"/>
          <w:szCs w:val="22"/>
        </w:rPr>
        <w:t xml:space="preserve"> Incluyó pacientes diabéticos &gt;3 meses de evolución, hospitalizados en servicio de medicina y cirugía, glicemia de ingreso &gt;140 mg/dl, 18-80 años. Se excluyó: complicación aguda de diabetes, embarazadas, uso corticoides (prednisona&gt;5 mg/día), incapacidad de comprender estudio, VFG &lt;30ml/min, insuficiencia hepática severa. </w:t>
      </w:r>
      <w:proofErr w:type="spellStart"/>
      <w:r w:rsidRPr="00991152">
        <w:rPr>
          <w:sz w:val="22"/>
          <w:szCs w:val="22"/>
        </w:rPr>
        <w:t>Randomización</w:t>
      </w:r>
      <w:proofErr w:type="spellEnd"/>
      <w:r w:rsidRPr="00991152">
        <w:rPr>
          <w:sz w:val="22"/>
          <w:szCs w:val="22"/>
        </w:rPr>
        <w:t xml:space="preserve"> aleatoria a IC o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 xml:space="preserve">. Todos reciben 2 dosis de insulina NPH como basal calculada 0,25 U/kg si glicemia &gt;180 o 0,2 U/kg entre 140-180. Ajuste de </w:t>
      </w:r>
      <w:proofErr w:type="spellStart"/>
      <w:r w:rsidRPr="00991152">
        <w:rPr>
          <w:sz w:val="22"/>
          <w:szCs w:val="22"/>
        </w:rPr>
        <w:t>prandiales</w:t>
      </w:r>
      <w:proofErr w:type="spellEnd"/>
      <w:r w:rsidRPr="00991152">
        <w:rPr>
          <w:sz w:val="22"/>
          <w:szCs w:val="22"/>
        </w:rPr>
        <w:t xml:space="preserve"> por equipo según protocolo. </w:t>
      </w:r>
      <w:r w:rsidRPr="00991152">
        <w:rPr>
          <w:rStyle w:val="Textoennegrita"/>
          <w:sz w:val="22"/>
          <w:szCs w:val="22"/>
        </w:rPr>
        <w:t>Análisis estadístico</w:t>
      </w:r>
      <w:r w:rsidRPr="00991152">
        <w:rPr>
          <w:sz w:val="22"/>
          <w:szCs w:val="22"/>
        </w:rPr>
        <w:t>: para los promedios T de Student o análisis de varianza, y para los % Chi</w:t>
      </w:r>
      <w:r w:rsidRPr="00991152">
        <w:rPr>
          <w:sz w:val="22"/>
          <w:szCs w:val="22"/>
          <w:vertAlign w:val="superscript"/>
        </w:rPr>
        <w:t>2</w:t>
      </w:r>
      <w:r w:rsidRPr="00991152">
        <w:rPr>
          <w:sz w:val="22"/>
          <w:szCs w:val="22"/>
        </w:rPr>
        <w:t>, p&lt;0,05.</w:t>
      </w:r>
    </w:p>
    <w:p w:rsidR="00CE7628" w:rsidRPr="00991152" w:rsidRDefault="00F3143B" w:rsidP="009911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1152">
        <w:rPr>
          <w:b/>
          <w:sz w:val="22"/>
          <w:szCs w:val="22"/>
        </w:rPr>
        <w:t>Resultados.</w:t>
      </w:r>
      <w:r w:rsidRPr="00991152">
        <w:rPr>
          <w:sz w:val="22"/>
          <w:szCs w:val="22"/>
        </w:rPr>
        <w:t xml:space="preserve"> 50 pacientes randomizados, 23 (46%) a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 xml:space="preserve"> y 27 (54%) a IC; 72% hombres, edad promedio 52 años (47-79), IMC 33±32 kg/m</w:t>
      </w:r>
      <w:r w:rsidRPr="00991152">
        <w:rPr>
          <w:sz w:val="22"/>
          <w:szCs w:val="22"/>
          <w:vertAlign w:val="superscript"/>
        </w:rPr>
        <w:t>2</w:t>
      </w:r>
      <w:r w:rsidRPr="00991152">
        <w:rPr>
          <w:sz w:val="22"/>
          <w:szCs w:val="22"/>
        </w:rPr>
        <w:t>, años de diabetes 14 (1-40), HbA1c 9,6± 2,3%. Tratamiento previo al ingreso: ADO 70%, el 47% asociado con insulina. Insulinoterapia exclusiva 26%. Diagnósticos de ingreso principal infeccioso (56%). Días de hospitalización 6 (2-31). Glicemia de ingreso 244 ± 85mg/dl.</w:t>
      </w:r>
    </w:p>
    <w:p w:rsidR="00CE7628" w:rsidRPr="00991152" w:rsidRDefault="00F3143B" w:rsidP="009911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1152">
        <w:rPr>
          <w:sz w:val="22"/>
          <w:szCs w:val="22"/>
        </w:rPr>
        <w:t xml:space="preserve">Durante la hospitalización la glicemia promedio del grupo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 xml:space="preserve"> fue menor que en el grupo IC (161 vs 188 p&lt;0.05). El % de glicemias capilares en metas fue 77% para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 xml:space="preserve"> y 50% para IC (NS). Las glicemias promedios en grupos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 xml:space="preserve"> e IC fueron: ayunas 136 vs 157 (NS), </w:t>
      </w:r>
      <w:proofErr w:type="spellStart"/>
      <w:r w:rsidRPr="00991152">
        <w:rPr>
          <w:sz w:val="22"/>
          <w:szCs w:val="22"/>
        </w:rPr>
        <w:t>prealmuerzo</w:t>
      </w:r>
      <w:proofErr w:type="spellEnd"/>
      <w:r w:rsidRPr="00991152">
        <w:rPr>
          <w:sz w:val="22"/>
          <w:szCs w:val="22"/>
        </w:rPr>
        <w:t xml:space="preserve"> 149 vs 181 (p&lt;0.05) y </w:t>
      </w:r>
      <w:proofErr w:type="spellStart"/>
      <w:r w:rsidRPr="00991152">
        <w:rPr>
          <w:sz w:val="22"/>
          <w:szCs w:val="22"/>
        </w:rPr>
        <w:t>precena</w:t>
      </w:r>
      <w:proofErr w:type="spellEnd"/>
      <w:r w:rsidRPr="00991152">
        <w:rPr>
          <w:sz w:val="22"/>
          <w:szCs w:val="22"/>
        </w:rPr>
        <w:t xml:space="preserve"> 199 vs 207 (NS). Se registraron 3,7% episodios de hiperglicemia en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 xml:space="preserve"> y 6,4% en IC (NS).</w:t>
      </w:r>
    </w:p>
    <w:p w:rsidR="00CE7628" w:rsidRPr="00991152" w:rsidRDefault="00F3143B" w:rsidP="009911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1152">
        <w:rPr>
          <w:sz w:val="22"/>
          <w:szCs w:val="22"/>
        </w:rPr>
        <w:t xml:space="preserve">Los valores glicémicos promedios diarios disminuyeron en ambos grupos a las 48 h de ingreso. Hubo 2 pacientes con hipoglicemias no clínicamente significativas en grupo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 xml:space="preserve"> relacionadas con ayuno por pabellón. Sin hipoglicemias en grupo IC. Sin diferencia en los días de hospitalización. Al alta, las glicemias fueron 149±24 mg/dl para </w:t>
      </w:r>
      <w:proofErr w:type="spellStart"/>
      <w:r w:rsidRPr="00991152">
        <w:rPr>
          <w:sz w:val="22"/>
          <w:szCs w:val="22"/>
        </w:rPr>
        <w:t>Asp</w:t>
      </w:r>
      <w:proofErr w:type="spellEnd"/>
      <w:r w:rsidRPr="00991152">
        <w:rPr>
          <w:sz w:val="22"/>
          <w:szCs w:val="22"/>
        </w:rPr>
        <w:t xml:space="preserve"> y 199±5 para IC (NS); el 64% de los pacientes se fue de alta con insulinoterapia, sin diferencia de dosis.</w:t>
      </w:r>
    </w:p>
    <w:p w:rsidR="00CE7628" w:rsidRPr="00991152" w:rsidRDefault="00F3143B" w:rsidP="009911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1152">
        <w:rPr>
          <w:b/>
          <w:sz w:val="22"/>
          <w:szCs w:val="22"/>
        </w:rPr>
        <w:t>Conclusión.</w:t>
      </w:r>
      <w:r w:rsidRPr="00991152">
        <w:rPr>
          <w:sz w:val="22"/>
          <w:szCs w:val="22"/>
        </w:rPr>
        <w:t xml:space="preserve"> En este estudio, el uso de insulina análoga como corrección en un protocolo estandarizado de basal–bolo muestra una tendencia de mejor control metabólico, mayor % de glicemias en metas y menos episodios de hiperglicemia. No hubo diferencias en las hipoglicemias, sin embargo, el uso de monitoreo continuo de glicemia ayudará a evidenciar episodios inadvertidos, que de acuerdo a la literatura, debieran ser más comunes en los pacientes tratados con IC. Esta evaluación inicial, puede apoyar la introducción de las insulinas análogas rápidas al arsenal terapéutico hospitalario, dadas las potenciales ventajas.</w:t>
      </w:r>
    </w:p>
    <w:p w:rsidR="00F3143B" w:rsidRPr="00991152" w:rsidRDefault="00F3143B" w:rsidP="009911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1152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991152">
        <w:rPr>
          <w:rFonts w:ascii="Times New Roman" w:eastAsia="Times New Roman" w:hAnsi="Times New Roman" w:cs="Times New Roman"/>
        </w:rPr>
        <w:t xml:space="preserve">Sin financiamiento </w:t>
      </w:r>
    </w:p>
    <w:sectPr w:rsidR="00F3143B" w:rsidRPr="00991152" w:rsidSect="00CE7628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061E"/>
    <w:rsid w:val="00595525"/>
    <w:rsid w:val="008B061E"/>
    <w:rsid w:val="00991152"/>
    <w:rsid w:val="00CE7628"/>
    <w:rsid w:val="00D74816"/>
    <w:rsid w:val="00E817D3"/>
    <w:rsid w:val="00F3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6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7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2018-08-03T19:15:00Z</cp:lastPrinted>
  <dcterms:created xsi:type="dcterms:W3CDTF">2018-08-03T19:16:00Z</dcterms:created>
  <dcterms:modified xsi:type="dcterms:W3CDTF">2018-09-30T20:24:00Z</dcterms:modified>
</cp:coreProperties>
</file>